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Discussion on Vision and whether we need another goal…other matters.  . 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Give voice to what Ann Weber said about, we live in a changing era…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We should be expanding our horizons.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Goal to pray for improving our current reality and political situation?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rtl w:val="0"/>
        </w:rPr>
        <w:t xml:space="preserve">Work we are doing in leadership, in two years.. Write it down to evaluate in two years the model selected.   </w:t>
      </w:r>
      <w:r w:rsidDel="00000000" w:rsidR="00000000" w:rsidRPr="00000000">
        <w:rPr>
          <w:b w:val="1"/>
          <w:rtl w:val="0"/>
        </w:rPr>
        <w:t xml:space="preserve">We will do this without needing a goal to do it.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CCA has been/is Visionary, always had a vision… Need an aspirational goal? —- Hope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Express in our goals and on line -  express our solidarity… with all those who are suffering. How best to do this?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Develop a vision statement - establish a vision development committee?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Connie offered to develop a draft vision statement with assistance from her community. 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We have the CCA Governance Board.  We have a community in Cleveland, should Barb be added to the CCA Governance Board??? Yes she is willing to serve.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Barb added to the CCA Governance Board. 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What is a Governance Board… need a definition/description?  Stephanie to draft.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Denise to be the collection point for recommendations for the ED role.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