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The CCA Governance Board</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The CCA Governance Board will assume their role effective September 1, 2025. The initial term of the Board will be two years from this date. The Board with consist of the prioresses of the following CCA communities:</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Baltimore</w:t>
      </w:r>
    </w:p>
    <w:p w:rsidR="00000000" w:rsidDel="00000000" w:rsidP="00000000" w:rsidRDefault="00000000" w:rsidRPr="00000000" w14:paraId="00000006">
      <w:pPr>
        <w:rPr>
          <w:b w:val="1"/>
        </w:rPr>
      </w:pPr>
      <w:r w:rsidDel="00000000" w:rsidR="00000000" w:rsidRPr="00000000">
        <w:rPr>
          <w:b w:val="1"/>
          <w:rtl w:val="0"/>
        </w:rPr>
        <w:t xml:space="preserve">Boston</w:t>
      </w:r>
    </w:p>
    <w:p w:rsidR="00000000" w:rsidDel="00000000" w:rsidP="00000000" w:rsidRDefault="00000000" w:rsidRPr="00000000" w14:paraId="00000007">
      <w:pPr>
        <w:rPr>
          <w:b w:val="1"/>
        </w:rPr>
      </w:pPr>
      <w:r w:rsidDel="00000000" w:rsidR="00000000" w:rsidRPr="00000000">
        <w:rPr>
          <w:b w:val="1"/>
          <w:rtl w:val="0"/>
        </w:rPr>
        <w:t xml:space="preserve">Carmelite Communion</w:t>
      </w:r>
    </w:p>
    <w:p w:rsidR="00000000" w:rsidDel="00000000" w:rsidP="00000000" w:rsidRDefault="00000000" w:rsidRPr="00000000" w14:paraId="00000008">
      <w:pPr>
        <w:rPr>
          <w:b w:val="1"/>
        </w:rPr>
      </w:pPr>
      <w:r w:rsidDel="00000000" w:rsidR="00000000" w:rsidRPr="00000000">
        <w:rPr>
          <w:b w:val="1"/>
          <w:rtl w:val="0"/>
        </w:rPr>
        <w:t xml:space="preserve">Latrobe</w:t>
      </w:r>
    </w:p>
    <w:p w:rsidR="00000000" w:rsidDel="00000000" w:rsidP="00000000" w:rsidRDefault="00000000" w:rsidRPr="00000000" w14:paraId="00000009">
      <w:pPr>
        <w:rPr>
          <w:b w:val="1"/>
        </w:rPr>
      </w:pPr>
      <w:r w:rsidDel="00000000" w:rsidR="00000000" w:rsidRPr="00000000">
        <w:rPr>
          <w:b w:val="1"/>
          <w:rtl w:val="0"/>
        </w:rPr>
        <w:t xml:space="preserve">Reno</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And the local superior of the Cleveland Community, which is affiliated with CCA. </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Additionally, the following past presidents:</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Sr Colette Ackerman, OCD</w:t>
      </w:r>
    </w:p>
    <w:p w:rsidR="00000000" w:rsidDel="00000000" w:rsidP="00000000" w:rsidRDefault="00000000" w:rsidRPr="00000000" w14:paraId="00000010">
      <w:pPr>
        <w:rPr>
          <w:b w:val="1"/>
        </w:rPr>
      </w:pPr>
      <w:r w:rsidDel="00000000" w:rsidR="00000000" w:rsidRPr="00000000">
        <w:rPr>
          <w:b w:val="1"/>
          <w:rtl w:val="0"/>
        </w:rPr>
        <w:t xml:space="preserve">Sr Bernadette Therese, OCD  (also current prioress of Boston Carmel)</w:t>
      </w:r>
    </w:p>
    <w:p w:rsidR="00000000" w:rsidDel="00000000" w:rsidP="00000000" w:rsidRDefault="00000000" w:rsidRPr="00000000" w14:paraId="00000011">
      <w:pPr>
        <w:rPr>
          <w:b w:val="1"/>
        </w:rPr>
      </w:pPr>
      <w:r w:rsidDel="00000000" w:rsidR="00000000" w:rsidRPr="00000000">
        <w:rPr>
          <w:b w:val="1"/>
          <w:rtl w:val="0"/>
        </w:rPr>
        <w:t xml:space="preserve">Sr. Marjorie Robinson, OCD   (also current prioress of the Carmellte Communion)</w:t>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Proposed role of the Governance Board.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Board will provide oversight and support to the Executive Director in her role of directing and managing the affairs and needs of the CCA. They will determine her compensation, and review her performance.  The Board will determine among themselves the  strategic oversight roles each may serve as, e.g., Treasurer (oversight of the CCA accounting and cash disbursements). According to the adopted CCA Schedule of authorizations, the Treasurer’s and or President’s signature may be required on contracts and purchases.  One of the Board members will serve as the President.  She will be the official representative to the Generalate and to Rome.  The Board will determine their need for meetings.  The Board provides the overall strategic direction of the CCA in accordance with the vision, mission and goals of the CCA.  </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